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50" w:rsidRPr="008A3650" w:rsidRDefault="008A3650" w:rsidP="008A365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s-MX"/>
        </w:rPr>
      </w:pPr>
      <w:r w:rsidRPr="008A3650">
        <w:rPr>
          <w:rFonts w:ascii="Arial" w:eastAsia="Times New Roman" w:hAnsi="Arial" w:cs="Arial"/>
          <w:b/>
          <w:bCs/>
          <w:kern w:val="36"/>
          <w:sz w:val="48"/>
          <w:szCs w:val="48"/>
          <w:lang w:eastAsia="es-MX"/>
        </w:rPr>
        <w:t>NOTAS A LOS ESTADOS FINANCIEROS</w:t>
      </w:r>
    </w:p>
    <w:p w:rsidR="008A3650" w:rsidRDefault="008A3650" w:rsidP="008A36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MUNICIPIO DE SANTA CATARINA, SAN LUIS POTOSÍ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Periodo: 4to Trimestre de 2025 (01 de octubre al 31 de diciembre)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 w:rsidRPr="008A3650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I. NOTAS DE DESGLOSE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1. NOTAS AL ESTADO DE SITUACIÓN FINANCIERA (Activo y Pasivo)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ACTIVO CIRCULANTE</w:t>
      </w:r>
    </w:p>
    <w:p w:rsidR="008A3650" w:rsidRPr="008A3650" w:rsidRDefault="008A3650" w:rsidP="008A3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Efectivo y Equivalentes: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El saldo al 31 de diciembre de 2025 es de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$8,169,405.17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. Este rubro presentó una disminución neta de $20,103,333.64 durante el periodo.</w:t>
      </w:r>
    </w:p>
    <w:p w:rsidR="008A3650" w:rsidRPr="008A3650" w:rsidRDefault="008A3650" w:rsidP="008A3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Derechos a Recibir Efectivo o Equivalentes: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Se reporta un saldo de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$2,386,428.19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, lo que representa una variación a la baja de $2,694,101.97 respecto al inicio del periodo.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ACTIVO NO CIRCULANTE</w:t>
      </w:r>
    </w:p>
    <w:p w:rsidR="008A3650" w:rsidRPr="008A3650" w:rsidRDefault="008A3650" w:rsidP="008A3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Bienes Inmuebles, Infraestructura y Construcciones en Proceso: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El saldo final asciende a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$17,806,103.51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8A3650" w:rsidRPr="008A3650" w:rsidRDefault="008A3650" w:rsidP="008A3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Bienes Muebles: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El patrimonio en mobiliario y equipo suma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$14,936,535.38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, registrando cargos (adquisiciones) por $428,163.24 durante el trimestre.</w:t>
      </w:r>
    </w:p>
    <w:p w:rsidR="008A3650" w:rsidRPr="008A3650" w:rsidRDefault="008A3650" w:rsidP="008A3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Depreciación Acumulada: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Se tiene un registro contable negativo de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-$1,027,175.75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por concepto de depreciación y amortización acumulada de bienes.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PASIVO</w:t>
      </w:r>
    </w:p>
    <w:p w:rsidR="008A3650" w:rsidRDefault="008A3650" w:rsidP="008A36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Cuentas por Pagar a Corto Plazo: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El municipio registra obligaciones por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$7,449,926.20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8A3650" w:rsidRPr="008A3650" w:rsidRDefault="008A3650" w:rsidP="008A36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hAnsi="Arial" w:cs="Arial"/>
          <w:b/>
          <w:bCs/>
          <w:sz w:val="24"/>
          <w:szCs w:val="24"/>
        </w:rPr>
        <w:t>Nota Especial sobre Obra Pública:</w:t>
      </w:r>
      <w:r w:rsidRPr="008A3650">
        <w:rPr>
          <w:rFonts w:ascii="Arial" w:hAnsi="Arial" w:cs="Arial"/>
          <w:sz w:val="24"/>
          <w:szCs w:val="24"/>
        </w:rPr>
        <w:t xml:space="preserve"> Se hace constar </w:t>
      </w:r>
      <w:proofErr w:type="gramStart"/>
      <w:r w:rsidRPr="008A3650">
        <w:rPr>
          <w:rFonts w:ascii="Arial" w:hAnsi="Arial" w:cs="Arial"/>
          <w:sz w:val="24"/>
          <w:szCs w:val="24"/>
        </w:rPr>
        <w:t>que</w:t>
      </w:r>
      <w:proofErr w:type="gramEnd"/>
      <w:r w:rsidRPr="008A3650">
        <w:rPr>
          <w:rFonts w:ascii="Arial" w:hAnsi="Arial" w:cs="Arial"/>
          <w:sz w:val="24"/>
          <w:szCs w:val="24"/>
        </w:rPr>
        <w:t xml:space="preserve"> al cierre del cuarto trimestre de 2025, existe un </w:t>
      </w:r>
      <w:r w:rsidRPr="008A3650">
        <w:rPr>
          <w:rFonts w:ascii="Arial" w:hAnsi="Arial" w:cs="Arial"/>
          <w:b/>
          <w:bCs/>
          <w:sz w:val="24"/>
          <w:szCs w:val="24"/>
        </w:rPr>
        <w:t>gasto comprometido</w:t>
      </w:r>
      <w:r w:rsidRPr="008A3650">
        <w:rPr>
          <w:rFonts w:ascii="Arial" w:hAnsi="Arial" w:cs="Arial"/>
          <w:sz w:val="24"/>
          <w:szCs w:val="24"/>
        </w:rPr>
        <w:t xml:space="preserve"> </w:t>
      </w:r>
      <w:r w:rsidR="00CD05FA">
        <w:rPr>
          <w:rFonts w:ascii="Arial" w:hAnsi="Arial" w:cs="Arial"/>
          <w:sz w:val="24"/>
          <w:szCs w:val="24"/>
        </w:rPr>
        <w:t xml:space="preserve">de $6,521,641.13 </w:t>
      </w:r>
      <w:r w:rsidRPr="008A3650">
        <w:rPr>
          <w:rFonts w:ascii="Arial" w:hAnsi="Arial" w:cs="Arial"/>
          <w:sz w:val="24"/>
          <w:szCs w:val="24"/>
        </w:rPr>
        <w:t>vinculado a</w:t>
      </w:r>
      <w:r>
        <w:rPr>
          <w:rFonts w:ascii="Arial" w:hAnsi="Arial" w:cs="Arial"/>
          <w:sz w:val="24"/>
          <w:szCs w:val="24"/>
        </w:rPr>
        <w:t>l</w:t>
      </w:r>
      <w:r w:rsidRPr="008A3650">
        <w:rPr>
          <w:rFonts w:ascii="Arial" w:hAnsi="Arial" w:cs="Arial"/>
          <w:sz w:val="24"/>
          <w:szCs w:val="24"/>
        </w:rPr>
        <w:t xml:space="preserve"> contrato</w:t>
      </w:r>
      <w:r>
        <w:rPr>
          <w:rFonts w:ascii="Arial" w:hAnsi="Arial" w:cs="Arial"/>
          <w:sz w:val="24"/>
          <w:szCs w:val="24"/>
        </w:rPr>
        <w:t xml:space="preserve"> </w:t>
      </w:r>
      <w:r w:rsidRPr="008A3650">
        <w:rPr>
          <w:rFonts w:ascii="Arial" w:hAnsi="Arial" w:cs="Arial"/>
          <w:sz w:val="24"/>
          <w:szCs w:val="24"/>
        </w:rPr>
        <w:t>LO-EST-245800034-22-2025 OBRA: PAVIMENTACION CON CARPETA ASFALTICA DEL CAMINO LA CERCADA - CALABAZAS DEL KILOMETRO 0+000 AL 1+280, EN EL MUNICIPIO DE SANTA CATARINA, S.L.P.</w:t>
      </w:r>
      <w:r w:rsidRPr="008A3650">
        <w:rPr>
          <w:rFonts w:ascii="Arial" w:hAnsi="Arial" w:cs="Arial"/>
          <w:sz w:val="24"/>
          <w:szCs w:val="24"/>
        </w:rPr>
        <w:t xml:space="preserve"> </w:t>
      </w:r>
      <w:r w:rsidRPr="008A3650">
        <w:rPr>
          <w:rFonts w:ascii="Arial" w:hAnsi="Arial" w:cs="Arial"/>
          <w:b/>
          <w:bCs/>
          <w:sz w:val="24"/>
          <w:szCs w:val="24"/>
        </w:rPr>
        <w:t>obra pública en proceso de construcción</w:t>
      </w:r>
      <w:r w:rsidRPr="008A3650">
        <w:rPr>
          <w:rFonts w:ascii="Arial" w:hAnsi="Arial" w:cs="Arial"/>
          <w:sz w:val="24"/>
          <w:szCs w:val="24"/>
        </w:rPr>
        <w:t>. Este compromiso representa recursos para la culminación de proyectos de infraestructura, asegurando la continuidad de las obras hasta su entrega recepción definitiva.</w:t>
      </w:r>
    </w:p>
    <w:p w:rsidR="008A3650" w:rsidRPr="008A3650" w:rsidRDefault="008A3650" w:rsidP="008A36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>Fondos y Bienes de Terceros: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Se reportan pasivos no circulantes por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$20,000.00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en garantía o administración a largo plazo.</w:t>
      </w:r>
    </w:p>
    <w:p w:rsidR="008A3650" w:rsidRPr="008A3650" w:rsidRDefault="008A3650" w:rsidP="008A36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sz w:val="24"/>
          <w:szCs w:val="24"/>
          <w:lang w:eastAsia="es-MX"/>
        </w:rPr>
        <w:pict>
          <v:rect id="_x0000_i1025" style="width:0;height:1.5pt" o:hralign="center" o:hrstd="t" o:hr="t" fillcolor="#a0a0a0" stroked="f"/>
        </w:pic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2. NOTAS AL ESTADO DE ACTIVIDADES (Ingresos y Gastos)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INGRESOS DE GESTIÓN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Durante el cuarto trimestre, los ingresos propios totalizaron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$249,902.50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, integrados por:</w:t>
      </w:r>
    </w:p>
    <w:p w:rsidR="008A3650" w:rsidRPr="008A3650" w:rsidRDefault="008A3650" w:rsidP="008A36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Impuestos: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$18,422.00.</w:t>
      </w:r>
    </w:p>
    <w:p w:rsidR="008A3650" w:rsidRPr="008A3650" w:rsidRDefault="008A3650" w:rsidP="008A36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Contribuciones de Mejoras: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$163,830.00.</w:t>
      </w:r>
    </w:p>
    <w:p w:rsidR="008A3650" w:rsidRPr="008A3650" w:rsidRDefault="008A3650" w:rsidP="008A36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Derechos: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$42,583.00.</w:t>
      </w:r>
    </w:p>
    <w:p w:rsidR="008A3650" w:rsidRPr="008A3650" w:rsidRDefault="008A3650" w:rsidP="008A36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Aprovechamientos: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$25,067.50.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PARTICIPACIONES Y APORTACIONES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El principal motor de financiamiento fueron las Participaciones, Aportaciones, Convenios e Incentivos Fiscales, que sumaron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$21,440,165.98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en el trimestre.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GASTOS Y OTRAS PÉRDIDAS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El total de gastos de funcionamiento y transferencias fue de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$15,547,288.88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, donde destacan:</w:t>
      </w:r>
    </w:p>
    <w:p w:rsidR="008A3650" w:rsidRPr="008A3650" w:rsidRDefault="008A3650" w:rsidP="008A36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Gastos de Funcionamiento: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$13,313,322.61.</w:t>
      </w:r>
    </w:p>
    <w:p w:rsidR="008A3650" w:rsidRPr="008A3650" w:rsidRDefault="008A3650" w:rsidP="008A36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Transferencias y Subsidios: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$2,040,664.80.</w:t>
      </w:r>
    </w:p>
    <w:p w:rsidR="008A3650" w:rsidRPr="008A3650" w:rsidRDefault="008A3650" w:rsidP="008A36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sz w:val="24"/>
          <w:szCs w:val="24"/>
          <w:lang w:eastAsia="es-MX"/>
        </w:rPr>
        <w:pict>
          <v:rect id="_x0000_i1026" style="width:0;height:1.5pt" o:hralign="center" o:hrstd="t" o:hr="t" fillcolor="#a0a0a0" stroked="f"/>
        </w:pic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3. NOTAS AL ESTADO DE VARIACIÓN EN LA HACIENDA PÚBLICA</w:t>
      </w:r>
    </w:p>
    <w:p w:rsidR="008A3650" w:rsidRPr="008A3650" w:rsidRDefault="008A3650" w:rsidP="008A36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Resultado del Ejercicio: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El ahorro generado en el periodo se reporta en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$8,831,653.98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8A3650" w:rsidRPr="008A3650" w:rsidRDefault="008A3650" w:rsidP="008A36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Patrimonio Contribuido: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Se mantiene una base de aportaciones de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$452.35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8A3650" w:rsidRPr="008A3650" w:rsidRDefault="008A3650" w:rsidP="008A36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Hacienda Pública Final: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El saldo total neto al cierre de 2025 es de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$37,832,137.37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8A3650" w:rsidRPr="008A3650" w:rsidRDefault="008A3650" w:rsidP="008A36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sz w:val="24"/>
          <w:szCs w:val="24"/>
          <w:lang w:eastAsia="es-MX"/>
        </w:rPr>
        <w:pict>
          <v:rect id="_x0000_i1027" style="width:0;height:1.5pt" o:hralign="center" o:hrstd="t" o:hr="t" fillcolor="#a0a0a0" stroked="f"/>
        </w:pic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4. NOTAS AL ESTADO DE FLUJOS DE EFECTIVO</w:t>
      </w:r>
    </w:p>
    <w:p w:rsidR="008A3650" w:rsidRPr="008A3650" w:rsidRDefault="008A3650" w:rsidP="008A36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Actividades de Operación: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Se generó un origen de recursos de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$24,319,244.07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frente a una aplicación de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$15,353,987.41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>, resultando en un flujo neto positivo de operación de $8,965,256.66.</w:t>
      </w:r>
    </w:p>
    <w:p w:rsidR="008A3650" w:rsidRPr="008A3650" w:rsidRDefault="008A3650" w:rsidP="008A36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Actividades de Inversión: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Se registró una aplicación neta de </w:t>
      </w: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$29,068,590.30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para la adquisición de bienes o infraestructura.</w:t>
      </w:r>
    </w:p>
    <w:p w:rsidR="008A3650" w:rsidRPr="008A3650" w:rsidRDefault="008A3650" w:rsidP="008A36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sz w:val="24"/>
          <w:szCs w:val="24"/>
          <w:lang w:eastAsia="es-MX"/>
        </w:rPr>
        <w:lastRenderedPageBreak/>
        <w:pict>
          <v:rect id="_x0000_i1028" style="width:0;height:1.5pt" o:hralign="center" o:hrstd="t" o:hr="t" fillcolor="#a0a0a0" stroked="f"/>
        </w:pic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 w:rsidRPr="008A3650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II. NOTAS DE MEMORIA (CUENTAS DE ORDEN)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PRESUPUESTO DE INGRESOS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:rsidR="008A3650" w:rsidRPr="008A3650" w:rsidRDefault="008A3650" w:rsidP="008A36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Ley de Ingresos Estimada: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$104,578,029.00.</w:t>
      </w:r>
    </w:p>
    <w:p w:rsidR="008A3650" w:rsidRPr="008A3650" w:rsidRDefault="008A3650" w:rsidP="008A36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Ley de Ingresos Recaudada: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$101,044,391.08.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PRESUPUESTO DE EGRESOS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:rsidR="008A3650" w:rsidRPr="008A3650" w:rsidRDefault="008A3650" w:rsidP="008A36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Presupuesto de Egresos Aprobado: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$104,578,029.00.</w:t>
      </w:r>
    </w:p>
    <w:p w:rsidR="008A3650" w:rsidRPr="008A3650" w:rsidRDefault="008A3650" w:rsidP="008A36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Presupuesto Modificado: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$110,745,255.32.</w:t>
      </w:r>
    </w:p>
    <w:p w:rsidR="008A3650" w:rsidRPr="008A3650" w:rsidRDefault="008A3650" w:rsidP="008A36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Presupuesto Ejercido: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$104,497,801.45.</w:t>
      </w:r>
      <w:bookmarkStart w:id="0" w:name="_GoBack"/>
      <w:bookmarkEnd w:id="0"/>
    </w:p>
    <w:p w:rsidR="008A3650" w:rsidRPr="008A3650" w:rsidRDefault="008A3650" w:rsidP="008A36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sz w:val="24"/>
          <w:szCs w:val="24"/>
          <w:lang w:eastAsia="es-MX"/>
        </w:rPr>
        <w:pict>
          <v:rect id="_x0000_i1029" style="width:0;height:1.5pt" o:hralign="center" o:hrstd="t" o:hr="t" fillcolor="#a0a0a0" stroked="f"/>
        </w:pic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 w:rsidRPr="008A3650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III. NOTAS DE GESTIÓN ADMINISTRATIVA</w:t>
      </w:r>
    </w:p>
    <w:p w:rsidR="008A3650" w:rsidRPr="008A3650" w:rsidRDefault="008A3650" w:rsidP="008A3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EJECUCIÓN DEL GASTO POR CAPÍTULO (4to Trimestre)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El gasto devengado en el periodo de octubre a diciembre se concentró en los siguientes conceptos:</w:t>
      </w:r>
    </w:p>
    <w:p w:rsidR="008A3650" w:rsidRPr="008A3650" w:rsidRDefault="008A3650" w:rsidP="008A36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Servicios Personales: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$6,523,546.54 (Destacando remuneraciones al personal permanente por $4,293,030.07).</w:t>
      </w:r>
    </w:p>
    <w:p w:rsidR="008A3650" w:rsidRPr="008A3650" w:rsidRDefault="008A3650" w:rsidP="008A36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Materiales y Suministros: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$1,695,226.92 (Principalmente en Combustibles y Vestuario).</w:t>
      </w:r>
    </w:p>
    <w:p w:rsidR="008A3650" w:rsidRPr="008A3650" w:rsidRDefault="008A3650" w:rsidP="008A36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Servicios Generales: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$5,085,785.08.</w:t>
      </w:r>
    </w:p>
    <w:p w:rsidR="008A3650" w:rsidRDefault="008A3650" w:rsidP="008A36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A365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Inversión Pública:</w:t>
      </w:r>
      <w:r w:rsidRPr="008A3650">
        <w:rPr>
          <w:rFonts w:ascii="Arial" w:eastAsia="Times New Roman" w:hAnsi="Arial" w:cs="Arial"/>
          <w:sz w:val="24"/>
          <w:szCs w:val="24"/>
          <w:lang w:eastAsia="es-MX"/>
        </w:rPr>
        <w:t xml:space="preserve"> $29,068,590.23.</w:t>
      </w:r>
    </w:p>
    <w:p w:rsidR="00CD05FA" w:rsidRDefault="00CD05FA" w:rsidP="00CD05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188"/>
        <w:gridCol w:w="188"/>
        <w:gridCol w:w="4401"/>
      </w:tblGrid>
      <w:tr w:rsidR="00CD05FA" w:rsidRPr="00CD05FA" w:rsidTr="00CD05FA">
        <w:trPr>
          <w:trHeight w:val="600"/>
        </w:trPr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D05F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D05F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CD05FA" w:rsidRPr="00CD05FA" w:rsidTr="00CD05FA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D05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L.A. JUAN CARLOS RAMOS MORENO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D05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C.P. SAYRA GUADALUPE COMPEAN RODRIGUEZ</w:t>
            </w:r>
          </w:p>
        </w:tc>
      </w:tr>
      <w:tr w:rsidR="00CD05FA" w:rsidRPr="00CD05FA" w:rsidTr="00CD05FA">
        <w:trPr>
          <w:trHeight w:val="300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D05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PRESIDENTE MUNICIPAL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D05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TESORERA MUNICIPAL</w:t>
            </w:r>
          </w:p>
        </w:tc>
      </w:tr>
      <w:tr w:rsidR="00CD05FA" w:rsidRPr="00CD05FA" w:rsidTr="00CD05FA">
        <w:trPr>
          <w:trHeight w:val="600"/>
        </w:trPr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D05F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D05F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CD05FA" w:rsidRPr="00CD05FA" w:rsidTr="00CD05FA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D05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LIC. JOSE FRANCISCO PATLAN MALDONADO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D05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ROBERTO CABRERA GOBELLAN</w:t>
            </w:r>
          </w:p>
        </w:tc>
      </w:tr>
      <w:tr w:rsidR="00CD05FA" w:rsidRPr="00CD05FA" w:rsidTr="00CD05FA">
        <w:trPr>
          <w:trHeight w:val="439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D05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SINDICO MUNICIPAL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5FA" w:rsidRPr="00CD05FA" w:rsidRDefault="00CD05FA" w:rsidP="00CD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5FA" w:rsidRPr="00CD05FA" w:rsidRDefault="00CD05FA" w:rsidP="00CD0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D05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REGIDOR DE HACIENDA</w:t>
            </w:r>
          </w:p>
        </w:tc>
      </w:tr>
    </w:tbl>
    <w:p w:rsidR="00CD05FA" w:rsidRPr="008A3650" w:rsidRDefault="00CD05FA" w:rsidP="00CD05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563041" w:rsidRPr="008A3650" w:rsidRDefault="00563041" w:rsidP="008A3650">
      <w:pPr>
        <w:jc w:val="both"/>
        <w:rPr>
          <w:rFonts w:ascii="Arial" w:hAnsi="Arial" w:cs="Arial"/>
        </w:rPr>
      </w:pPr>
    </w:p>
    <w:sectPr w:rsidR="00563041" w:rsidRPr="008A36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7AD"/>
    <w:multiLevelType w:val="multilevel"/>
    <w:tmpl w:val="B2A4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32BA8"/>
    <w:multiLevelType w:val="multilevel"/>
    <w:tmpl w:val="058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66446"/>
    <w:multiLevelType w:val="multilevel"/>
    <w:tmpl w:val="52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3684A"/>
    <w:multiLevelType w:val="multilevel"/>
    <w:tmpl w:val="5AC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F790D"/>
    <w:multiLevelType w:val="multilevel"/>
    <w:tmpl w:val="77F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D4D58"/>
    <w:multiLevelType w:val="multilevel"/>
    <w:tmpl w:val="FD6C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41707"/>
    <w:multiLevelType w:val="multilevel"/>
    <w:tmpl w:val="4A0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462A6"/>
    <w:multiLevelType w:val="multilevel"/>
    <w:tmpl w:val="A1A8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B5412"/>
    <w:multiLevelType w:val="multilevel"/>
    <w:tmpl w:val="0DBE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452C6"/>
    <w:multiLevelType w:val="multilevel"/>
    <w:tmpl w:val="6090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50"/>
    <w:rsid w:val="00563041"/>
    <w:rsid w:val="008A3650"/>
    <w:rsid w:val="00CD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D864"/>
  <w15:chartTrackingRefBased/>
  <w15:docId w15:val="{3D81550E-768B-4DB0-B452-B5EA9874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A3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8A3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8A3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65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8A365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8A365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A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itation-229">
    <w:name w:val="citation-229"/>
    <w:basedOn w:val="Fuentedeprrafopredeter"/>
    <w:rsid w:val="008A3650"/>
  </w:style>
  <w:style w:type="character" w:customStyle="1" w:styleId="citation-228">
    <w:name w:val="citation-228"/>
    <w:basedOn w:val="Fuentedeprrafopredeter"/>
    <w:rsid w:val="008A3650"/>
  </w:style>
  <w:style w:type="character" w:customStyle="1" w:styleId="citation-227">
    <w:name w:val="citation-227"/>
    <w:basedOn w:val="Fuentedeprrafopredeter"/>
    <w:rsid w:val="008A3650"/>
  </w:style>
  <w:style w:type="character" w:customStyle="1" w:styleId="citation-226">
    <w:name w:val="citation-226"/>
    <w:basedOn w:val="Fuentedeprrafopredeter"/>
    <w:rsid w:val="008A3650"/>
  </w:style>
  <w:style w:type="character" w:customStyle="1" w:styleId="citation-225">
    <w:name w:val="citation-225"/>
    <w:basedOn w:val="Fuentedeprrafopredeter"/>
    <w:rsid w:val="008A3650"/>
  </w:style>
  <w:style w:type="character" w:customStyle="1" w:styleId="citation-224">
    <w:name w:val="citation-224"/>
    <w:basedOn w:val="Fuentedeprrafopredeter"/>
    <w:rsid w:val="008A3650"/>
  </w:style>
  <w:style w:type="character" w:customStyle="1" w:styleId="citation-223">
    <w:name w:val="citation-223"/>
    <w:basedOn w:val="Fuentedeprrafopredeter"/>
    <w:rsid w:val="008A3650"/>
  </w:style>
  <w:style w:type="character" w:customStyle="1" w:styleId="citation-222">
    <w:name w:val="citation-222"/>
    <w:basedOn w:val="Fuentedeprrafopredeter"/>
    <w:rsid w:val="008A3650"/>
  </w:style>
  <w:style w:type="character" w:customStyle="1" w:styleId="citation-221">
    <w:name w:val="citation-221"/>
    <w:basedOn w:val="Fuentedeprrafopredeter"/>
    <w:rsid w:val="008A3650"/>
  </w:style>
  <w:style w:type="character" w:customStyle="1" w:styleId="citation-220">
    <w:name w:val="citation-220"/>
    <w:basedOn w:val="Fuentedeprrafopredeter"/>
    <w:rsid w:val="008A3650"/>
  </w:style>
  <w:style w:type="character" w:customStyle="1" w:styleId="citation-219">
    <w:name w:val="citation-219"/>
    <w:basedOn w:val="Fuentedeprrafopredeter"/>
    <w:rsid w:val="008A3650"/>
  </w:style>
  <w:style w:type="character" w:customStyle="1" w:styleId="citation-218">
    <w:name w:val="citation-218"/>
    <w:basedOn w:val="Fuentedeprrafopredeter"/>
    <w:rsid w:val="008A3650"/>
  </w:style>
  <w:style w:type="character" w:customStyle="1" w:styleId="citation-217">
    <w:name w:val="citation-217"/>
    <w:basedOn w:val="Fuentedeprrafopredeter"/>
    <w:rsid w:val="008A3650"/>
  </w:style>
  <w:style w:type="character" w:customStyle="1" w:styleId="citation-216">
    <w:name w:val="citation-216"/>
    <w:basedOn w:val="Fuentedeprrafopredeter"/>
    <w:rsid w:val="008A3650"/>
  </w:style>
  <w:style w:type="character" w:customStyle="1" w:styleId="citation-215">
    <w:name w:val="citation-215"/>
    <w:basedOn w:val="Fuentedeprrafopredeter"/>
    <w:rsid w:val="008A3650"/>
  </w:style>
  <w:style w:type="character" w:customStyle="1" w:styleId="citation-214">
    <w:name w:val="citation-214"/>
    <w:basedOn w:val="Fuentedeprrafopredeter"/>
    <w:rsid w:val="008A3650"/>
  </w:style>
  <w:style w:type="character" w:customStyle="1" w:styleId="citation-213">
    <w:name w:val="citation-213"/>
    <w:basedOn w:val="Fuentedeprrafopredeter"/>
    <w:rsid w:val="008A3650"/>
  </w:style>
  <w:style w:type="character" w:customStyle="1" w:styleId="citation-212">
    <w:name w:val="citation-212"/>
    <w:basedOn w:val="Fuentedeprrafopredeter"/>
    <w:rsid w:val="008A3650"/>
  </w:style>
  <w:style w:type="character" w:customStyle="1" w:styleId="citation-211">
    <w:name w:val="citation-211"/>
    <w:basedOn w:val="Fuentedeprrafopredeter"/>
    <w:rsid w:val="008A3650"/>
  </w:style>
  <w:style w:type="character" w:customStyle="1" w:styleId="citation-210">
    <w:name w:val="citation-210"/>
    <w:basedOn w:val="Fuentedeprrafopredeter"/>
    <w:rsid w:val="008A3650"/>
  </w:style>
  <w:style w:type="character" w:customStyle="1" w:styleId="citation-209">
    <w:name w:val="citation-209"/>
    <w:basedOn w:val="Fuentedeprrafopredeter"/>
    <w:rsid w:val="008A3650"/>
  </w:style>
  <w:style w:type="character" w:customStyle="1" w:styleId="citation-208">
    <w:name w:val="citation-208"/>
    <w:basedOn w:val="Fuentedeprrafopredeter"/>
    <w:rsid w:val="008A3650"/>
  </w:style>
  <w:style w:type="character" w:customStyle="1" w:styleId="citation-207">
    <w:name w:val="citation-207"/>
    <w:basedOn w:val="Fuentedeprrafopredeter"/>
    <w:rsid w:val="008A3650"/>
  </w:style>
  <w:style w:type="character" w:customStyle="1" w:styleId="citation-206">
    <w:name w:val="citation-206"/>
    <w:basedOn w:val="Fuentedeprrafopredeter"/>
    <w:rsid w:val="008A3650"/>
  </w:style>
  <w:style w:type="character" w:customStyle="1" w:styleId="citation-205">
    <w:name w:val="citation-205"/>
    <w:basedOn w:val="Fuentedeprrafopredeter"/>
    <w:rsid w:val="008A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7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MSC-06</dc:creator>
  <cp:keywords/>
  <dc:description/>
  <cp:lastModifiedBy>MSC-06</cp:lastModifiedBy>
  <cp:revision>1</cp:revision>
  <dcterms:created xsi:type="dcterms:W3CDTF">2026-01-30T20:02:00Z</dcterms:created>
  <dcterms:modified xsi:type="dcterms:W3CDTF">2026-01-30T20:16:00Z</dcterms:modified>
</cp:coreProperties>
</file>